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A8" w:rsidRDefault="004E50A8" w:rsidP="004E50A8">
      <w:pPr>
        <w:spacing w:line="600" w:lineRule="exact"/>
        <w:jc w:val="center"/>
        <w:rPr>
          <w:rFonts w:ascii="仿宋" w:eastAsia="仿宋" w:hAnsi="仿宋" w:cs="仿宋" w:hint="eastAsia"/>
          <w:b/>
          <w:bCs/>
          <w:sz w:val="52"/>
          <w:szCs w:val="52"/>
        </w:rPr>
      </w:pPr>
      <w:r>
        <w:rPr>
          <w:rFonts w:ascii="仿宋" w:eastAsia="仿宋" w:hAnsi="仿宋" w:cs="仿宋" w:hint="eastAsia"/>
          <w:b/>
          <w:bCs/>
          <w:sz w:val="52"/>
          <w:szCs w:val="52"/>
        </w:rPr>
        <w:t>目  录</w:t>
      </w:r>
    </w:p>
    <w:p w:rsidR="004E50A8" w:rsidRDefault="004E50A8" w:rsidP="004E50A8">
      <w:pPr>
        <w:spacing w:line="600" w:lineRule="exact"/>
        <w:jc w:val="center"/>
        <w:rPr>
          <w:rFonts w:ascii="仿宋" w:eastAsia="仿宋" w:hAnsi="仿宋" w:cs="仿宋" w:hint="eastAsia"/>
          <w:b/>
          <w:bCs/>
          <w:sz w:val="52"/>
          <w:szCs w:val="52"/>
        </w:rPr>
      </w:pPr>
    </w:p>
    <w:p w:rsidR="004E50A8" w:rsidRDefault="004E50A8" w:rsidP="004E50A8">
      <w:pPr>
        <w:pStyle w:val="1"/>
        <w:tabs>
          <w:tab w:val="right" w:leader="dot" w:pos="8845"/>
        </w:tabs>
        <w:spacing w:line="600" w:lineRule="exact"/>
        <w:jc w:val="left"/>
        <w:rPr>
          <w:rFonts w:ascii="仿宋" w:eastAsia="仿宋" w:hAnsi="仿宋" w:cs="仿宋" w:hint="eastAsia"/>
          <w:sz w:val="32"/>
          <w:szCs w:val="32"/>
        </w:rPr>
      </w:pPr>
      <w:r>
        <w:rPr>
          <w:rFonts w:ascii="仿宋" w:eastAsia="仿宋" w:hAnsi="仿宋" w:cs="仿宋" w:hint="eastAsia"/>
          <w:b/>
          <w:bCs/>
          <w:sz w:val="32"/>
          <w:szCs w:val="32"/>
        </w:rPr>
        <w:fldChar w:fldCharType="begin"/>
      </w:r>
      <w:r>
        <w:rPr>
          <w:rFonts w:ascii="仿宋" w:eastAsia="仿宋" w:hAnsi="仿宋" w:cs="仿宋" w:hint="eastAsia"/>
          <w:b/>
          <w:bCs/>
          <w:sz w:val="32"/>
          <w:szCs w:val="32"/>
        </w:rPr>
        <w:instrText xml:space="preserve">TOC \o "1-3" \h \u </w:instrText>
      </w:r>
      <w:r>
        <w:rPr>
          <w:rFonts w:ascii="仿宋" w:eastAsia="仿宋" w:hAnsi="仿宋" w:cs="仿宋" w:hint="eastAsia"/>
          <w:b/>
          <w:bCs/>
          <w:sz w:val="32"/>
          <w:szCs w:val="32"/>
        </w:rPr>
        <w:fldChar w:fldCharType="separate"/>
      </w:r>
      <w:hyperlink w:anchor="_Toc12513" w:history="1">
        <w:r>
          <w:rPr>
            <w:rFonts w:ascii="仿宋" w:eastAsia="仿宋" w:hAnsi="仿宋" w:cs="仿宋" w:hint="eastAsia"/>
            <w:bCs/>
            <w:sz w:val="32"/>
            <w:szCs w:val="32"/>
          </w:rPr>
          <w:t>1.个人所得税综合所得年度汇算清缴的办理方式有哪些?</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_Toc12513 </w:instrText>
        </w:r>
        <w:r>
          <w:rPr>
            <w:rFonts w:ascii="仿宋" w:eastAsia="仿宋" w:hAnsi="仿宋" w:cs="仿宋" w:hint="eastAsia"/>
            <w:sz w:val="32"/>
            <w:szCs w:val="32"/>
          </w:rPr>
          <w:fldChar w:fldCharType="separate"/>
        </w:r>
        <w:r>
          <w:rPr>
            <w:rFonts w:ascii="仿宋" w:eastAsia="仿宋" w:hAnsi="仿宋" w:cs="仿宋" w:hint="eastAsia"/>
            <w:sz w:val="32"/>
            <w:szCs w:val="32"/>
          </w:rPr>
          <w:t>1</w:t>
        </w:r>
        <w:r>
          <w:rPr>
            <w:rFonts w:ascii="仿宋" w:eastAsia="仿宋" w:hAnsi="仿宋" w:cs="仿宋" w:hint="eastAsia"/>
            <w:sz w:val="32"/>
            <w:szCs w:val="32"/>
          </w:rPr>
          <w:fldChar w:fldCharType="end"/>
        </w:r>
      </w:hyperlink>
    </w:p>
    <w:p w:rsidR="004E50A8" w:rsidRDefault="004E50A8" w:rsidP="004E50A8">
      <w:pPr>
        <w:pStyle w:val="1"/>
        <w:tabs>
          <w:tab w:val="right" w:leader="dot" w:pos="8845"/>
        </w:tabs>
        <w:spacing w:line="600" w:lineRule="exact"/>
        <w:jc w:val="left"/>
        <w:rPr>
          <w:rFonts w:ascii="仿宋" w:eastAsia="仿宋" w:hAnsi="仿宋" w:cs="仿宋" w:hint="eastAsia"/>
          <w:sz w:val="32"/>
          <w:szCs w:val="32"/>
        </w:rPr>
      </w:pPr>
      <w:hyperlink w:anchor="_Toc4861" w:history="1">
        <w:r>
          <w:rPr>
            <w:rFonts w:ascii="仿宋" w:eastAsia="仿宋" w:hAnsi="仿宋" w:cs="仿宋" w:hint="eastAsia"/>
            <w:bCs/>
            <w:sz w:val="32"/>
            <w:szCs w:val="32"/>
          </w:rPr>
          <w:t>2.如何办理个人所得税经营所得汇算清缴?</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_Toc4861 </w:instrText>
        </w:r>
        <w:r>
          <w:rPr>
            <w:rFonts w:ascii="仿宋" w:eastAsia="仿宋" w:hAnsi="仿宋" w:cs="仿宋" w:hint="eastAsia"/>
            <w:sz w:val="32"/>
            <w:szCs w:val="32"/>
          </w:rPr>
          <w:fldChar w:fldCharType="separate"/>
        </w:r>
        <w:r>
          <w:rPr>
            <w:rFonts w:ascii="仿宋" w:eastAsia="仿宋" w:hAnsi="仿宋" w:cs="仿宋" w:hint="eastAsia"/>
            <w:sz w:val="32"/>
            <w:szCs w:val="32"/>
          </w:rPr>
          <w:t>1</w:t>
        </w:r>
        <w:r>
          <w:rPr>
            <w:rFonts w:ascii="仿宋" w:eastAsia="仿宋" w:hAnsi="仿宋" w:cs="仿宋" w:hint="eastAsia"/>
            <w:sz w:val="32"/>
            <w:szCs w:val="32"/>
          </w:rPr>
          <w:fldChar w:fldCharType="end"/>
        </w:r>
      </w:hyperlink>
    </w:p>
    <w:p w:rsidR="004E50A8" w:rsidRDefault="004E50A8" w:rsidP="004E50A8">
      <w:pPr>
        <w:pStyle w:val="1"/>
        <w:tabs>
          <w:tab w:val="right" w:leader="dot" w:pos="8845"/>
        </w:tabs>
        <w:spacing w:line="600" w:lineRule="exact"/>
        <w:jc w:val="left"/>
        <w:rPr>
          <w:rFonts w:ascii="仿宋" w:eastAsia="仿宋" w:hAnsi="仿宋" w:cs="仿宋" w:hint="eastAsia"/>
          <w:sz w:val="32"/>
          <w:szCs w:val="32"/>
        </w:rPr>
      </w:pPr>
      <w:hyperlink w:anchor="_Toc15855" w:history="1">
        <w:r>
          <w:rPr>
            <w:rFonts w:ascii="仿宋" w:eastAsia="仿宋" w:hAnsi="仿宋" w:cs="仿宋" w:hint="eastAsia"/>
            <w:bCs/>
            <w:sz w:val="32"/>
            <w:szCs w:val="32"/>
          </w:rPr>
          <w:t>3.个人所得税APP现在是否能够办理年度汇算业务?</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_Toc15855 </w:instrText>
        </w:r>
        <w:r>
          <w:rPr>
            <w:rFonts w:ascii="仿宋" w:eastAsia="仿宋" w:hAnsi="仿宋" w:cs="仿宋" w:hint="eastAsia"/>
            <w:sz w:val="32"/>
            <w:szCs w:val="32"/>
          </w:rPr>
          <w:fldChar w:fldCharType="separate"/>
        </w:r>
        <w:r>
          <w:rPr>
            <w:rFonts w:ascii="仿宋" w:eastAsia="仿宋" w:hAnsi="仿宋" w:cs="仿宋" w:hint="eastAsia"/>
            <w:sz w:val="32"/>
            <w:szCs w:val="32"/>
          </w:rPr>
          <w:t>2</w:t>
        </w:r>
        <w:r>
          <w:rPr>
            <w:rFonts w:ascii="仿宋" w:eastAsia="仿宋" w:hAnsi="仿宋" w:cs="仿宋" w:hint="eastAsia"/>
            <w:sz w:val="32"/>
            <w:szCs w:val="32"/>
          </w:rPr>
          <w:fldChar w:fldCharType="end"/>
        </w:r>
      </w:hyperlink>
    </w:p>
    <w:p w:rsidR="004E50A8" w:rsidRDefault="004E50A8" w:rsidP="004E50A8">
      <w:pPr>
        <w:pStyle w:val="1"/>
        <w:tabs>
          <w:tab w:val="right" w:leader="dot" w:pos="8845"/>
        </w:tabs>
        <w:spacing w:line="600" w:lineRule="exact"/>
        <w:jc w:val="left"/>
        <w:rPr>
          <w:rFonts w:ascii="仿宋" w:eastAsia="仿宋" w:hAnsi="仿宋" w:cs="仿宋" w:hint="eastAsia"/>
          <w:sz w:val="32"/>
          <w:szCs w:val="32"/>
        </w:rPr>
      </w:pPr>
      <w:hyperlink w:anchor="_Toc4210" w:history="1">
        <w:r>
          <w:rPr>
            <w:rFonts w:ascii="仿宋" w:eastAsia="仿宋" w:hAnsi="仿宋" w:cs="仿宋" w:hint="eastAsia"/>
            <w:bCs/>
            <w:sz w:val="32"/>
            <w:szCs w:val="32"/>
          </w:rPr>
          <w:t>4.2019年个人所得税综合所得汇算清缴应该在什么时候办理?</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_Toc4210 </w:instrText>
        </w:r>
        <w:r>
          <w:rPr>
            <w:rFonts w:ascii="仿宋" w:eastAsia="仿宋" w:hAnsi="仿宋" w:cs="仿宋" w:hint="eastAsia"/>
            <w:sz w:val="32"/>
            <w:szCs w:val="32"/>
          </w:rPr>
          <w:fldChar w:fldCharType="separate"/>
        </w:r>
        <w:r>
          <w:rPr>
            <w:rFonts w:ascii="仿宋" w:eastAsia="仿宋" w:hAnsi="仿宋" w:cs="仿宋" w:hint="eastAsia"/>
            <w:sz w:val="32"/>
            <w:szCs w:val="32"/>
          </w:rPr>
          <w:t>2</w:t>
        </w:r>
        <w:r>
          <w:rPr>
            <w:rFonts w:ascii="仿宋" w:eastAsia="仿宋" w:hAnsi="仿宋" w:cs="仿宋" w:hint="eastAsia"/>
            <w:sz w:val="32"/>
            <w:szCs w:val="32"/>
          </w:rPr>
          <w:fldChar w:fldCharType="end"/>
        </w:r>
      </w:hyperlink>
    </w:p>
    <w:p w:rsidR="004E50A8" w:rsidRDefault="004E50A8" w:rsidP="004E50A8">
      <w:pPr>
        <w:pStyle w:val="1"/>
        <w:tabs>
          <w:tab w:val="right" w:leader="dot" w:pos="8845"/>
        </w:tabs>
        <w:spacing w:line="600" w:lineRule="exact"/>
        <w:jc w:val="left"/>
        <w:rPr>
          <w:rFonts w:ascii="仿宋" w:eastAsia="仿宋" w:hAnsi="仿宋" w:cs="仿宋" w:hint="eastAsia"/>
          <w:sz w:val="32"/>
          <w:szCs w:val="32"/>
        </w:rPr>
      </w:pPr>
      <w:hyperlink w:anchor="_Toc2387" w:history="1">
        <w:r>
          <w:rPr>
            <w:rFonts w:ascii="仿宋" w:eastAsia="仿宋" w:hAnsi="仿宋" w:cs="仿宋" w:hint="eastAsia"/>
            <w:bCs/>
            <w:sz w:val="32"/>
            <w:szCs w:val="32"/>
          </w:rPr>
          <w:t>5.哪些情形需要办理个人所得税综合所得年度汇算清缴?</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_Toc2387 </w:instrText>
        </w:r>
        <w:r>
          <w:rPr>
            <w:rFonts w:ascii="仿宋" w:eastAsia="仿宋" w:hAnsi="仿宋" w:cs="仿宋" w:hint="eastAsia"/>
            <w:sz w:val="32"/>
            <w:szCs w:val="32"/>
          </w:rPr>
          <w:fldChar w:fldCharType="separate"/>
        </w:r>
        <w:r>
          <w:rPr>
            <w:rFonts w:ascii="仿宋" w:eastAsia="仿宋" w:hAnsi="仿宋" w:cs="仿宋" w:hint="eastAsia"/>
            <w:sz w:val="32"/>
            <w:szCs w:val="32"/>
          </w:rPr>
          <w:t>2</w:t>
        </w:r>
        <w:r>
          <w:rPr>
            <w:rFonts w:ascii="仿宋" w:eastAsia="仿宋" w:hAnsi="仿宋" w:cs="仿宋" w:hint="eastAsia"/>
            <w:sz w:val="32"/>
            <w:szCs w:val="32"/>
          </w:rPr>
          <w:fldChar w:fldCharType="end"/>
        </w:r>
      </w:hyperlink>
    </w:p>
    <w:p w:rsidR="004E50A8" w:rsidRDefault="004E50A8" w:rsidP="004E50A8">
      <w:pPr>
        <w:pStyle w:val="1"/>
        <w:tabs>
          <w:tab w:val="right" w:leader="dot" w:pos="8845"/>
        </w:tabs>
        <w:spacing w:line="600" w:lineRule="exact"/>
        <w:jc w:val="left"/>
        <w:rPr>
          <w:rFonts w:ascii="仿宋" w:eastAsia="仿宋" w:hAnsi="仿宋" w:cs="仿宋" w:hint="eastAsia"/>
          <w:sz w:val="32"/>
          <w:szCs w:val="32"/>
        </w:rPr>
      </w:pPr>
      <w:hyperlink w:anchor="_Toc20005" w:history="1">
        <w:r>
          <w:rPr>
            <w:rFonts w:ascii="仿宋" w:eastAsia="仿宋" w:hAnsi="仿宋" w:cs="仿宋" w:hint="eastAsia"/>
            <w:bCs/>
            <w:sz w:val="32"/>
            <w:szCs w:val="32"/>
          </w:rPr>
          <w:t>6.取得经营所得如何计算个人所得税?</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_Toc20005 </w:instrText>
        </w:r>
        <w:r>
          <w:rPr>
            <w:rFonts w:ascii="仿宋" w:eastAsia="仿宋" w:hAnsi="仿宋" w:cs="仿宋" w:hint="eastAsia"/>
            <w:sz w:val="32"/>
            <w:szCs w:val="32"/>
          </w:rPr>
          <w:fldChar w:fldCharType="separate"/>
        </w:r>
        <w:r>
          <w:rPr>
            <w:rFonts w:ascii="仿宋" w:eastAsia="仿宋" w:hAnsi="仿宋" w:cs="仿宋" w:hint="eastAsia"/>
            <w:sz w:val="32"/>
            <w:szCs w:val="32"/>
          </w:rPr>
          <w:t>3</w:t>
        </w:r>
        <w:r>
          <w:rPr>
            <w:rFonts w:ascii="仿宋" w:eastAsia="仿宋" w:hAnsi="仿宋" w:cs="仿宋" w:hint="eastAsia"/>
            <w:sz w:val="32"/>
            <w:szCs w:val="32"/>
          </w:rPr>
          <w:fldChar w:fldCharType="end"/>
        </w:r>
      </w:hyperlink>
    </w:p>
    <w:p w:rsidR="004E50A8" w:rsidRDefault="004E50A8" w:rsidP="004E50A8">
      <w:pPr>
        <w:pStyle w:val="1"/>
        <w:tabs>
          <w:tab w:val="right" w:leader="dot" w:pos="8845"/>
        </w:tabs>
        <w:spacing w:line="600" w:lineRule="exact"/>
        <w:jc w:val="left"/>
        <w:rPr>
          <w:rFonts w:ascii="仿宋" w:eastAsia="仿宋" w:hAnsi="仿宋" w:cs="仿宋" w:hint="eastAsia"/>
          <w:sz w:val="32"/>
          <w:szCs w:val="32"/>
        </w:rPr>
      </w:pPr>
      <w:hyperlink w:anchor="_Toc12091" w:history="1">
        <w:r>
          <w:rPr>
            <w:rFonts w:ascii="仿宋" w:eastAsia="仿宋" w:hAnsi="仿宋" w:cs="仿宋" w:hint="eastAsia"/>
            <w:bCs/>
            <w:sz w:val="32"/>
            <w:szCs w:val="32"/>
          </w:rPr>
          <w:t>7.如何下载安装自然人电子税务局(扣缴端)?</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_Toc12091 </w:instrText>
        </w:r>
        <w:r>
          <w:rPr>
            <w:rFonts w:ascii="仿宋" w:eastAsia="仿宋" w:hAnsi="仿宋" w:cs="仿宋" w:hint="eastAsia"/>
            <w:sz w:val="32"/>
            <w:szCs w:val="32"/>
          </w:rPr>
          <w:fldChar w:fldCharType="separate"/>
        </w:r>
        <w:r>
          <w:rPr>
            <w:rFonts w:ascii="仿宋" w:eastAsia="仿宋" w:hAnsi="仿宋" w:cs="仿宋" w:hint="eastAsia"/>
            <w:sz w:val="32"/>
            <w:szCs w:val="32"/>
          </w:rPr>
          <w:t>4</w:t>
        </w:r>
        <w:r>
          <w:rPr>
            <w:rFonts w:ascii="仿宋" w:eastAsia="仿宋" w:hAnsi="仿宋" w:cs="仿宋" w:hint="eastAsia"/>
            <w:sz w:val="32"/>
            <w:szCs w:val="32"/>
          </w:rPr>
          <w:fldChar w:fldCharType="end"/>
        </w:r>
      </w:hyperlink>
    </w:p>
    <w:p w:rsidR="004E50A8" w:rsidRDefault="004E50A8" w:rsidP="004E50A8">
      <w:pPr>
        <w:pStyle w:val="1"/>
        <w:tabs>
          <w:tab w:val="right" w:leader="dot" w:pos="8845"/>
        </w:tabs>
        <w:spacing w:line="600" w:lineRule="exact"/>
        <w:jc w:val="left"/>
        <w:rPr>
          <w:rFonts w:ascii="仿宋" w:eastAsia="仿宋" w:hAnsi="仿宋" w:cs="仿宋" w:hint="eastAsia"/>
          <w:sz w:val="32"/>
          <w:szCs w:val="32"/>
        </w:rPr>
      </w:pPr>
      <w:hyperlink w:anchor="_Toc902" w:history="1">
        <w:r>
          <w:rPr>
            <w:rFonts w:ascii="仿宋" w:eastAsia="仿宋" w:hAnsi="仿宋" w:cs="仿宋" w:hint="eastAsia"/>
            <w:bCs/>
            <w:sz w:val="32"/>
            <w:szCs w:val="32"/>
          </w:rPr>
          <w:t>8.个人所得税代扣代缴手续费的返还比例是多少?</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_Toc902 </w:instrText>
        </w:r>
        <w:r>
          <w:rPr>
            <w:rFonts w:ascii="仿宋" w:eastAsia="仿宋" w:hAnsi="仿宋" w:cs="仿宋" w:hint="eastAsia"/>
            <w:sz w:val="32"/>
            <w:szCs w:val="32"/>
          </w:rPr>
          <w:fldChar w:fldCharType="separate"/>
        </w:r>
        <w:r>
          <w:rPr>
            <w:rFonts w:ascii="仿宋" w:eastAsia="仿宋" w:hAnsi="仿宋" w:cs="仿宋" w:hint="eastAsia"/>
            <w:sz w:val="32"/>
            <w:szCs w:val="32"/>
          </w:rPr>
          <w:t>4</w:t>
        </w:r>
        <w:r>
          <w:rPr>
            <w:rFonts w:ascii="仿宋" w:eastAsia="仿宋" w:hAnsi="仿宋" w:cs="仿宋" w:hint="eastAsia"/>
            <w:sz w:val="32"/>
            <w:szCs w:val="32"/>
          </w:rPr>
          <w:fldChar w:fldCharType="end"/>
        </w:r>
      </w:hyperlink>
    </w:p>
    <w:p w:rsidR="004E50A8" w:rsidRDefault="004E50A8" w:rsidP="004E50A8">
      <w:pPr>
        <w:pStyle w:val="1"/>
        <w:tabs>
          <w:tab w:val="right" w:leader="dot" w:pos="8845"/>
        </w:tabs>
        <w:spacing w:line="600" w:lineRule="exact"/>
        <w:jc w:val="left"/>
        <w:rPr>
          <w:rFonts w:ascii="仿宋" w:eastAsia="仿宋" w:hAnsi="仿宋" w:cs="仿宋" w:hint="eastAsia"/>
          <w:sz w:val="32"/>
          <w:szCs w:val="32"/>
        </w:rPr>
      </w:pPr>
      <w:hyperlink w:anchor="_Toc19823" w:history="1">
        <w:r>
          <w:rPr>
            <w:rFonts w:ascii="仿宋" w:eastAsia="仿宋" w:hAnsi="仿宋" w:cs="仿宋" w:hint="eastAsia"/>
            <w:bCs/>
            <w:sz w:val="32"/>
            <w:szCs w:val="32"/>
          </w:rPr>
          <w:t>9.忘记自然人电子税务局(扣缴端)的申报密码，如何处理?</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_Toc19823 </w:instrText>
        </w:r>
        <w:r>
          <w:rPr>
            <w:rFonts w:ascii="仿宋" w:eastAsia="仿宋" w:hAnsi="仿宋" w:cs="仿宋" w:hint="eastAsia"/>
            <w:sz w:val="32"/>
            <w:szCs w:val="32"/>
          </w:rPr>
          <w:fldChar w:fldCharType="separate"/>
        </w:r>
        <w:r>
          <w:rPr>
            <w:rFonts w:ascii="仿宋" w:eastAsia="仿宋" w:hAnsi="仿宋" w:cs="仿宋" w:hint="eastAsia"/>
            <w:sz w:val="32"/>
            <w:szCs w:val="32"/>
          </w:rPr>
          <w:t>4</w:t>
        </w:r>
        <w:r>
          <w:rPr>
            <w:rFonts w:ascii="仿宋" w:eastAsia="仿宋" w:hAnsi="仿宋" w:cs="仿宋" w:hint="eastAsia"/>
            <w:sz w:val="32"/>
            <w:szCs w:val="32"/>
          </w:rPr>
          <w:fldChar w:fldCharType="end"/>
        </w:r>
      </w:hyperlink>
    </w:p>
    <w:p w:rsidR="004E50A8" w:rsidRDefault="004E50A8" w:rsidP="004E50A8">
      <w:pPr>
        <w:pStyle w:val="1"/>
        <w:tabs>
          <w:tab w:val="right" w:leader="dot" w:pos="8845"/>
        </w:tabs>
        <w:spacing w:line="600" w:lineRule="exact"/>
        <w:jc w:val="left"/>
        <w:rPr>
          <w:rFonts w:ascii="仿宋" w:eastAsia="仿宋" w:hAnsi="仿宋" w:cs="仿宋" w:hint="eastAsia"/>
          <w:sz w:val="32"/>
          <w:szCs w:val="32"/>
        </w:rPr>
      </w:pPr>
      <w:hyperlink w:anchor="_Toc21253" w:history="1">
        <w:r>
          <w:rPr>
            <w:rFonts w:ascii="仿宋" w:eastAsia="仿宋" w:hAnsi="仿宋" w:cs="仿宋" w:hint="eastAsia"/>
            <w:bCs/>
            <w:sz w:val="32"/>
            <w:szCs w:val="32"/>
          </w:rPr>
          <w:t>10.什么情况下会导致退税审核不通过或者退税失败?</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_Toc21253 </w:instrText>
        </w:r>
        <w:r>
          <w:rPr>
            <w:rFonts w:ascii="仿宋" w:eastAsia="仿宋" w:hAnsi="仿宋" w:cs="仿宋" w:hint="eastAsia"/>
            <w:sz w:val="32"/>
            <w:szCs w:val="32"/>
          </w:rPr>
          <w:fldChar w:fldCharType="separate"/>
        </w:r>
        <w:r>
          <w:rPr>
            <w:rFonts w:ascii="仿宋" w:eastAsia="仿宋" w:hAnsi="仿宋" w:cs="仿宋" w:hint="eastAsia"/>
            <w:sz w:val="32"/>
            <w:szCs w:val="32"/>
          </w:rPr>
          <w:t>4</w:t>
        </w:r>
        <w:r>
          <w:rPr>
            <w:rFonts w:ascii="仿宋" w:eastAsia="仿宋" w:hAnsi="仿宋" w:cs="仿宋" w:hint="eastAsia"/>
            <w:sz w:val="32"/>
            <w:szCs w:val="32"/>
          </w:rPr>
          <w:fldChar w:fldCharType="end"/>
        </w:r>
      </w:hyperlink>
    </w:p>
    <w:p w:rsidR="004E50A8" w:rsidRDefault="004E50A8" w:rsidP="004E50A8">
      <w:pPr>
        <w:spacing w:line="600" w:lineRule="exact"/>
        <w:jc w:val="left"/>
        <w:rPr>
          <w:rFonts w:ascii="仿宋" w:eastAsia="仿宋" w:hAnsi="仿宋" w:cs="仿宋" w:hint="eastAsia"/>
          <w:b/>
          <w:bCs/>
          <w:sz w:val="32"/>
          <w:szCs w:val="32"/>
        </w:rPr>
      </w:pPr>
      <w:r>
        <w:rPr>
          <w:rFonts w:ascii="仿宋" w:eastAsia="仿宋" w:hAnsi="仿宋" w:cs="仿宋" w:hint="eastAsia"/>
          <w:bCs/>
          <w:sz w:val="32"/>
          <w:szCs w:val="32"/>
        </w:rPr>
        <w:fldChar w:fldCharType="end"/>
      </w:r>
    </w:p>
    <w:p w:rsidR="004E50A8" w:rsidRDefault="004E50A8" w:rsidP="004E50A8">
      <w:pPr>
        <w:spacing w:line="600" w:lineRule="exact"/>
        <w:jc w:val="center"/>
        <w:rPr>
          <w:rFonts w:ascii="仿宋" w:eastAsia="仿宋" w:hAnsi="仿宋" w:cs="仿宋" w:hint="eastAsia"/>
          <w:b/>
          <w:bCs/>
          <w:sz w:val="44"/>
          <w:szCs w:val="44"/>
        </w:rPr>
      </w:pPr>
    </w:p>
    <w:p w:rsidR="004E50A8" w:rsidRDefault="004E50A8" w:rsidP="004E50A8">
      <w:pPr>
        <w:spacing w:line="600" w:lineRule="exact"/>
        <w:jc w:val="center"/>
        <w:rPr>
          <w:rFonts w:ascii="仿宋" w:eastAsia="仿宋" w:hAnsi="仿宋" w:cs="仿宋" w:hint="eastAsia"/>
          <w:b/>
          <w:bCs/>
          <w:sz w:val="44"/>
          <w:szCs w:val="44"/>
        </w:rPr>
      </w:pPr>
    </w:p>
    <w:p w:rsidR="004E50A8" w:rsidRDefault="004E50A8" w:rsidP="004E50A8">
      <w:pPr>
        <w:spacing w:line="600" w:lineRule="exact"/>
        <w:jc w:val="center"/>
        <w:rPr>
          <w:rFonts w:ascii="仿宋" w:eastAsia="仿宋" w:hAnsi="仿宋" w:cs="仿宋" w:hint="eastAsia"/>
          <w:b/>
          <w:bCs/>
          <w:sz w:val="44"/>
          <w:szCs w:val="44"/>
        </w:rPr>
      </w:pPr>
    </w:p>
    <w:p w:rsidR="004E50A8" w:rsidRDefault="004E50A8" w:rsidP="004E50A8">
      <w:pPr>
        <w:spacing w:line="600" w:lineRule="exact"/>
        <w:jc w:val="center"/>
        <w:rPr>
          <w:rFonts w:ascii="仿宋" w:eastAsia="仿宋" w:hAnsi="仿宋" w:cs="仿宋" w:hint="eastAsia"/>
          <w:b/>
          <w:bCs/>
          <w:sz w:val="44"/>
          <w:szCs w:val="44"/>
        </w:rPr>
      </w:pPr>
    </w:p>
    <w:p w:rsidR="004E50A8" w:rsidRDefault="004E50A8" w:rsidP="004E50A8">
      <w:pPr>
        <w:spacing w:line="600" w:lineRule="exact"/>
        <w:jc w:val="center"/>
        <w:rPr>
          <w:rFonts w:ascii="仿宋" w:eastAsia="仿宋" w:hAnsi="仿宋" w:cs="仿宋" w:hint="eastAsia"/>
          <w:b/>
          <w:bCs/>
          <w:sz w:val="44"/>
          <w:szCs w:val="44"/>
        </w:rPr>
      </w:pPr>
    </w:p>
    <w:p w:rsidR="004E50A8" w:rsidRDefault="004E50A8" w:rsidP="004E50A8">
      <w:pPr>
        <w:spacing w:line="600" w:lineRule="exact"/>
        <w:jc w:val="center"/>
        <w:rPr>
          <w:rFonts w:ascii="仿宋" w:eastAsia="仿宋" w:hAnsi="仿宋" w:cs="仿宋" w:hint="eastAsia"/>
          <w:b/>
          <w:bCs/>
          <w:sz w:val="44"/>
          <w:szCs w:val="44"/>
        </w:rPr>
      </w:pPr>
    </w:p>
    <w:p w:rsidR="004E50A8" w:rsidRDefault="004E50A8" w:rsidP="004E50A8">
      <w:pPr>
        <w:spacing w:line="600" w:lineRule="exact"/>
        <w:jc w:val="center"/>
        <w:rPr>
          <w:rFonts w:ascii="仿宋" w:eastAsia="仿宋" w:hAnsi="仿宋" w:cs="仿宋" w:hint="eastAsia"/>
          <w:b/>
          <w:bCs/>
          <w:sz w:val="44"/>
          <w:szCs w:val="44"/>
        </w:rPr>
      </w:pPr>
    </w:p>
    <w:p w:rsidR="004E50A8" w:rsidRDefault="004E50A8" w:rsidP="004E50A8">
      <w:pPr>
        <w:spacing w:line="600" w:lineRule="exact"/>
        <w:rPr>
          <w:rFonts w:ascii="仿宋" w:eastAsia="仿宋" w:hAnsi="仿宋" w:cs="仿宋" w:hint="eastAsia"/>
          <w:b/>
          <w:bCs/>
          <w:sz w:val="44"/>
          <w:szCs w:val="44"/>
        </w:rPr>
      </w:pPr>
    </w:p>
    <w:p w:rsidR="004E50A8" w:rsidRDefault="004E50A8" w:rsidP="004E50A8">
      <w:pPr>
        <w:spacing w:line="600" w:lineRule="exact"/>
        <w:jc w:val="center"/>
        <w:rPr>
          <w:rFonts w:ascii="仿宋" w:eastAsia="仿宋" w:hAnsi="仿宋" w:cs="仿宋" w:hint="eastAsia"/>
          <w:b/>
          <w:bCs/>
          <w:sz w:val="44"/>
          <w:szCs w:val="44"/>
        </w:rPr>
        <w:sectPr w:rsidR="004E50A8" w:rsidSect="004E50A8">
          <w:pgSz w:w="11907" w:h="16840"/>
          <w:pgMar w:top="1985" w:right="1588" w:bottom="2098" w:left="1474" w:header="567" w:footer="907" w:gutter="0"/>
          <w:pgNumType w:start="1"/>
          <w:cols w:space="720"/>
          <w:docGrid w:linePitch="613" w:charSpace="-1839"/>
        </w:sectPr>
      </w:pPr>
    </w:p>
    <w:p w:rsidR="004E50A8" w:rsidRDefault="004E50A8" w:rsidP="004E50A8">
      <w:pPr>
        <w:spacing w:afterLines="100" w:line="600" w:lineRule="exact"/>
        <w:jc w:val="center"/>
        <w:rPr>
          <w:rFonts w:ascii="仿宋" w:eastAsia="仿宋" w:hAnsi="仿宋" w:cs="仿宋" w:hint="eastAsia"/>
          <w:b/>
          <w:bCs/>
          <w:sz w:val="44"/>
          <w:szCs w:val="44"/>
        </w:rPr>
      </w:pPr>
      <w:r>
        <w:rPr>
          <w:rFonts w:ascii="仿宋" w:eastAsia="仿宋" w:hAnsi="仿宋" w:cs="仿宋" w:hint="eastAsia"/>
          <w:b/>
          <w:bCs/>
          <w:sz w:val="44"/>
          <w:szCs w:val="44"/>
        </w:rPr>
        <w:lastRenderedPageBreak/>
        <w:t>个人所得税热点问题汇编</w:t>
      </w:r>
    </w:p>
    <w:p w:rsidR="004E50A8" w:rsidRDefault="004E50A8" w:rsidP="004E50A8">
      <w:pPr>
        <w:spacing w:line="600" w:lineRule="exact"/>
        <w:ind w:firstLineChars="200" w:firstLine="643"/>
        <w:jc w:val="left"/>
        <w:outlineLvl w:val="0"/>
        <w:rPr>
          <w:rFonts w:ascii="仿宋" w:eastAsia="仿宋" w:hAnsi="仿宋" w:cs="仿宋" w:hint="eastAsia"/>
          <w:b/>
          <w:bCs/>
          <w:sz w:val="32"/>
          <w:szCs w:val="32"/>
        </w:rPr>
      </w:pPr>
      <w:bookmarkStart w:id="0" w:name="_Toc12513"/>
      <w:r>
        <w:rPr>
          <w:rFonts w:ascii="仿宋" w:eastAsia="仿宋" w:hAnsi="仿宋" w:cs="仿宋" w:hint="eastAsia"/>
          <w:b/>
          <w:bCs/>
          <w:sz w:val="32"/>
          <w:szCs w:val="32"/>
        </w:rPr>
        <w:t>1.个人所得税综合所得年度汇算清缴的办理方式有哪些?</w:t>
      </w:r>
      <w:bookmarkEnd w:id="0"/>
    </w:p>
    <w:p w:rsidR="004E50A8" w:rsidRDefault="004E50A8" w:rsidP="004E50A8">
      <w:pPr>
        <w:spacing w:line="600" w:lineRule="exact"/>
        <w:ind w:firstLineChars="200" w:firstLine="616"/>
        <w:jc w:val="left"/>
        <w:rPr>
          <w:rFonts w:ascii="仿宋" w:eastAsia="仿宋" w:hAnsi="仿宋" w:cs="仿宋" w:hint="eastAsia"/>
          <w:spacing w:val="-6"/>
          <w:sz w:val="32"/>
          <w:szCs w:val="32"/>
        </w:rPr>
      </w:pPr>
      <w:r>
        <w:rPr>
          <w:rFonts w:ascii="仿宋" w:eastAsia="仿宋" w:hAnsi="仿宋" w:cs="仿宋" w:hint="eastAsia"/>
          <w:spacing w:val="-6"/>
          <w:sz w:val="32"/>
          <w:szCs w:val="32"/>
        </w:rPr>
        <w:t>答：纳税人可选择自行办理、通过扣缴义务人代为办理、委托涉税专业服务机构或其他单位及个人办理三种方式办理年度汇算。</w:t>
      </w:r>
    </w:p>
    <w:p w:rsidR="004E50A8" w:rsidRDefault="004E50A8" w:rsidP="004E50A8">
      <w:pPr>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为便利纳税人，税务机关为纳税人提供了方便快捷的网络办税渠道，纳税人可优先通过自然人电子税务局(包括手机个人所得税APP)办理年度汇算。</w:t>
      </w:r>
    </w:p>
    <w:p w:rsidR="004E50A8" w:rsidRDefault="004E50A8" w:rsidP="004E50A8">
      <w:pPr>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由扣缴义务人代为办理的，纳税人应在2020年4月30日前与扣缴义务人进行书面确认，补充提供其2019年度在本单位以外取得的综合所得收入、相关扣除、享受税收优惠等信息资料，并对所提交信息的真实性、准确性、完整性负责。</w:t>
      </w:r>
    </w:p>
    <w:p w:rsidR="004E50A8" w:rsidRDefault="004E50A8" w:rsidP="004E50A8">
      <w:pPr>
        <w:spacing w:line="600" w:lineRule="exact"/>
        <w:ind w:firstLineChars="200" w:firstLine="616"/>
        <w:jc w:val="left"/>
        <w:rPr>
          <w:rFonts w:ascii="仿宋" w:eastAsia="仿宋" w:hAnsi="仿宋" w:cs="仿宋" w:hint="eastAsia"/>
          <w:spacing w:val="-6"/>
          <w:sz w:val="32"/>
          <w:szCs w:val="32"/>
        </w:rPr>
      </w:pPr>
      <w:r>
        <w:rPr>
          <w:rFonts w:ascii="仿宋" w:eastAsia="仿宋" w:hAnsi="仿宋" w:cs="仿宋" w:hint="eastAsia"/>
          <w:spacing w:val="-6"/>
          <w:sz w:val="32"/>
          <w:szCs w:val="32"/>
        </w:rPr>
        <w:t>文件依据：《国家税务总局关于办理2019年度个人所得税综合所得汇算清缴事项的公告》(国家税务总局公告2019年第44号)</w:t>
      </w:r>
    </w:p>
    <w:p w:rsidR="004E50A8" w:rsidRDefault="004E50A8" w:rsidP="004E50A8">
      <w:pPr>
        <w:spacing w:line="600" w:lineRule="exact"/>
        <w:ind w:firstLineChars="200" w:firstLine="643"/>
        <w:jc w:val="left"/>
        <w:outlineLvl w:val="0"/>
        <w:rPr>
          <w:rFonts w:ascii="仿宋" w:eastAsia="仿宋" w:hAnsi="仿宋" w:cs="仿宋" w:hint="eastAsia"/>
          <w:b/>
          <w:bCs/>
          <w:sz w:val="32"/>
          <w:szCs w:val="32"/>
        </w:rPr>
      </w:pPr>
      <w:bookmarkStart w:id="1" w:name="_Toc4861"/>
      <w:r>
        <w:rPr>
          <w:rFonts w:ascii="仿宋" w:eastAsia="仿宋" w:hAnsi="仿宋" w:cs="仿宋" w:hint="eastAsia"/>
          <w:b/>
          <w:bCs/>
          <w:sz w:val="32"/>
          <w:szCs w:val="32"/>
        </w:rPr>
        <w:t>2.如何办理个人所得税经营所得汇算清缴?</w:t>
      </w:r>
      <w:bookmarkEnd w:id="1"/>
    </w:p>
    <w:p w:rsidR="004E50A8" w:rsidRDefault="004E50A8" w:rsidP="004E50A8">
      <w:pPr>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答：纳税人取得经营所得按年计算个人所得税，应在取得所得的次年3月31日前，向经营管理所在地主管税务机关办理汇算清缴，并报送《个人所得税经营所得纳税申报表(B表)》;从两处以上取得经营所得的，选择向其中一处经营管理所在地主管税务机关办理年度汇总申报，并报送《个人所得税经营所得纳税申报表(C表)》。</w:t>
      </w:r>
    </w:p>
    <w:p w:rsidR="004E50A8" w:rsidRDefault="004E50A8" w:rsidP="004E50A8">
      <w:pPr>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lastRenderedPageBreak/>
        <w:t>文件依据：《国家税务总局关于个人所得税自行纳税申报有关问题的公告》(国家税务总局公告2018年第62号)。</w:t>
      </w:r>
    </w:p>
    <w:p w:rsidR="004E50A8" w:rsidRDefault="004E50A8" w:rsidP="004E50A8">
      <w:pPr>
        <w:spacing w:line="600" w:lineRule="exact"/>
        <w:ind w:firstLineChars="200" w:firstLine="643"/>
        <w:jc w:val="left"/>
        <w:outlineLvl w:val="0"/>
        <w:rPr>
          <w:rFonts w:ascii="仿宋" w:eastAsia="仿宋" w:hAnsi="仿宋" w:cs="仿宋" w:hint="eastAsia"/>
          <w:b/>
          <w:bCs/>
          <w:sz w:val="32"/>
          <w:szCs w:val="32"/>
        </w:rPr>
      </w:pPr>
      <w:bookmarkStart w:id="2" w:name="_Toc15855"/>
      <w:r>
        <w:rPr>
          <w:rFonts w:ascii="仿宋" w:eastAsia="仿宋" w:hAnsi="仿宋" w:cs="仿宋" w:hint="eastAsia"/>
          <w:b/>
          <w:bCs/>
          <w:sz w:val="32"/>
          <w:szCs w:val="32"/>
        </w:rPr>
        <w:t>3.个人所得税APP现在是否能够办理年度汇算业务?</w:t>
      </w:r>
      <w:bookmarkEnd w:id="2"/>
    </w:p>
    <w:p w:rsidR="004E50A8" w:rsidRDefault="004E50A8" w:rsidP="004E50A8">
      <w:pPr>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答：截至2020年4月10日，除湖北外全国其他地区的纳税人均可使用个人所得税APP办理年度汇算。湖北省纳税人可以关注本省税务局官方网站，及时获知开放时间。</w:t>
      </w:r>
    </w:p>
    <w:p w:rsidR="004E50A8" w:rsidRDefault="004E50A8" w:rsidP="004E50A8">
      <w:pPr>
        <w:spacing w:line="600" w:lineRule="exact"/>
        <w:ind w:firstLineChars="200" w:firstLine="598"/>
        <w:jc w:val="left"/>
        <w:outlineLvl w:val="0"/>
        <w:rPr>
          <w:rFonts w:ascii="仿宋" w:eastAsia="仿宋" w:hAnsi="仿宋" w:cs="仿宋" w:hint="eastAsia"/>
          <w:b/>
          <w:bCs/>
          <w:spacing w:val="-11"/>
          <w:sz w:val="32"/>
          <w:szCs w:val="32"/>
        </w:rPr>
      </w:pPr>
      <w:bookmarkStart w:id="3" w:name="_Toc4210"/>
      <w:r>
        <w:rPr>
          <w:rFonts w:ascii="仿宋" w:eastAsia="仿宋" w:hAnsi="仿宋" w:cs="仿宋" w:hint="eastAsia"/>
          <w:b/>
          <w:bCs/>
          <w:spacing w:val="-11"/>
          <w:sz w:val="32"/>
          <w:szCs w:val="32"/>
        </w:rPr>
        <w:t>4.2019年个人所得税综合所得汇算清缴应该在什么时候办理?</w:t>
      </w:r>
      <w:bookmarkEnd w:id="3"/>
    </w:p>
    <w:p w:rsidR="004E50A8" w:rsidRDefault="004E50A8" w:rsidP="004E50A8">
      <w:pPr>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答：办理2019年度个人所得税综合所得年度汇算清缴的时间为2020年3月1日至6月30日，如果您属于需要进行汇算清缴的纳税人，诚挚地建议您尽量按照税务机关的安排错峰办理，也便于税务机关为您提供更好的办税服务。</w:t>
      </w:r>
    </w:p>
    <w:p w:rsidR="004E50A8" w:rsidRDefault="004E50A8" w:rsidP="004E50A8">
      <w:pPr>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如确因工作繁忙等原因不便在约定时间办理的，可在年度汇算内，通过网上税务局(包括手机个人所得税APP)或与税务机关预约办理。</w:t>
      </w:r>
    </w:p>
    <w:p w:rsidR="004E50A8" w:rsidRDefault="004E50A8" w:rsidP="004E50A8">
      <w:pPr>
        <w:spacing w:line="600" w:lineRule="exact"/>
        <w:ind w:firstLineChars="200" w:firstLine="616"/>
        <w:jc w:val="left"/>
        <w:rPr>
          <w:rFonts w:ascii="仿宋" w:eastAsia="仿宋" w:hAnsi="仿宋" w:cs="仿宋" w:hint="eastAsia"/>
          <w:spacing w:val="-6"/>
          <w:sz w:val="32"/>
          <w:szCs w:val="32"/>
        </w:rPr>
      </w:pPr>
      <w:r>
        <w:rPr>
          <w:rFonts w:ascii="仿宋" w:eastAsia="仿宋" w:hAnsi="仿宋" w:cs="仿宋" w:hint="eastAsia"/>
          <w:spacing w:val="-6"/>
          <w:sz w:val="32"/>
          <w:szCs w:val="32"/>
        </w:rPr>
        <w:t>文件依据：《国家税务总局关于办理2019年度个人所得税综合所得汇算清缴事项的公告》(国家税务总局公告2019年第44号)</w:t>
      </w:r>
    </w:p>
    <w:p w:rsidR="004E50A8" w:rsidRDefault="004E50A8" w:rsidP="004E50A8">
      <w:pPr>
        <w:spacing w:line="600" w:lineRule="exact"/>
        <w:ind w:firstLineChars="200" w:firstLine="643"/>
        <w:jc w:val="left"/>
        <w:outlineLvl w:val="0"/>
        <w:rPr>
          <w:rFonts w:ascii="仿宋" w:eastAsia="仿宋" w:hAnsi="仿宋" w:cs="仿宋" w:hint="eastAsia"/>
          <w:b/>
          <w:bCs/>
          <w:sz w:val="32"/>
          <w:szCs w:val="32"/>
        </w:rPr>
      </w:pPr>
      <w:bookmarkStart w:id="4" w:name="_Toc2387"/>
      <w:r>
        <w:rPr>
          <w:rFonts w:ascii="仿宋" w:eastAsia="仿宋" w:hAnsi="仿宋" w:cs="仿宋" w:hint="eastAsia"/>
          <w:b/>
          <w:bCs/>
          <w:sz w:val="32"/>
          <w:szCs w:val="32"/>
        </w:rPr>
        <w:t>5.哪些情形需要办理个人所得税综合所得年度汇算清缴?</w:t>
      </w:r>
      <w:bookmarkEnd w:id="4"/>
    </w:p>
    <w:p w:rsidR="004E50A8" w:rsidRDefault="004E50A8" w:rsidP="004E50A8">
      <w:pPr>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答：符合下列情形之一的纳税人需要办理年度汇算：</w:t>
      </w:r>
    </w:p>
    <w:p w:rsidR="004E50A8" w:rsidRDefault="004E50A8" w:rsidP="004E50A8">
      <w:pPr>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（1）2019年度已预缴税额大于年度应纳税额且申请退税的。包括2019年度综合所得收入额不超过6万元但已预缴个人所得税;年度中间劳务报酬、稿酬、特许权使用费适用的预扣率高于</w:t>
      </w:r>
      <w:r>
        <w:rPr>
          <w:rFonts w:ascii="仿宋" w:eastAsia="仿宋" w:hAnsi="仿宋" w:cs="仿宋" w:hint="eastAsia"/>
          <w:sz w:val="32"/>
          <w:szCs w:val="32"/>
        </w:rPr>
        <w:lastRenderedPageBreak/>
        <w:t>综合所得年适用税率;预缴税款时，未申报扣除或未足额扣除减除费用、专项扣除、专项附加扣除、依法确定的其他扣除或捐赠，以及未申报享受或未足额享受综合所得税收优惠等情形。</w:t>
      </w:r>
    </w:p>
    <w:p w:rsidR="004E50A8" w:rsidRDefault="004E50A8" w:rsidP="004E50A8">
      <w:pPr>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（2）2019年度综合所得收入超过12万元且需要补税金额超过400元的。包括取得两处及以上综合所得，合并后适用税率提高导致已预缴税额小于年度应纳税额等情形。”</w:t>
      </w:r>
    </w:p>
    <w:p w:rsidR="004E50A8" w:rsidRDefault="004E50A8" w:rsidP="004E50A8">
      <w:pPr>
        <w:spacing w:line="600" w:lineRule="exact"/>
        <w:ind w:firstLineChars="200" w:firstLine="616"/>
        <w:jc w:val="left"/>
        <w:rPr>
          <w:rFonts w:ascii="仿宋" w:eastAsia="仿宋" w:hAnsi="仿宋" w:cs="仿宋" w:hint="eastAsia"/>
          <w:spacing w:val="-6"/>
          <w:sz w:val="32"/>
          <w:szCs w:val="32"/>
        </w:rPr>
      </w:pPr>
      <w:r>
        <w:rPr>
          <w:rFonts w:ascii="仿宋" w:eastAsia="仿宋" w:hAnsi="仿宋" w:cs="仿宋" w:hint="eastAsia"/>
          <w:spacing w:val="-6"/>
          <w:sz w:val="32"/>
          <w:szCs w:val="32"/>
        </w:rPr>
        <w:t>文件依据：《国家税务总局关于办理2019年度个人所得税综合所得汇算清缴事项的公告》(国家税务总局公告2019年第44号)</w:t>
      </w:r>
    </w:p>
    <w:p w:rsidR="004E50A8" w:rsidRDefault="004E50A8" w:rsidP="004E50A8">
      <w:pPr>
        <w:spacing w:line="600" w:lineRule="exact"/>
        <w:ind w:firstLineChars="200" w:firstLine="643"/>
        <w:jc w:val="left"/>
        <w:outlineLvl w:val="0"/>
        <w:rPr>
          <w:rFonts w:ascii="仿宋" w:eastAsia="仿宋" w:hAnsi="仿宋" w:cs="仿宋" w:hint="eastAsia"/>
          <w:b/>
          <w:bCs/>
          <w:sz w:val="32"/>
          <w:szCs w:val="32"/>
        </w:rPr>
      </w:pPr>
      <w:bookmarkStart w:id="5" w:name="_Toc20005"/>
      <w:r>
        <w:rPr>
          <w:rFonts w:ascii="仿宋" w:eastAsia="仿宋" w:hAnsi="仿宋" w:cs="仿宋" w:hint="eastAsia"/>
          <w:b/>
          <w:bCs/>
          <w:sz w:val="32"/>
          <w:szCs w:val="32"/>
        </w:rPr>
        <w:t>6.取得经营所得如何计算个人所得税?</w:t>
      </w:r>
      <w:bookmarkEnd w:id="5"/>
    </w:p>
    <w:p w:rsidR="004E50A8" w:rsidRDefault="004E50A8" w:rsidP="004E50A8">
      <w:pPr>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答：经营所得，以每一纳税年度的收入总额减除成本、费用以及损失后的余额为应纳税所得额，适用百分之五至百分之三十五的超额累进税率。</w:t>
      </w:r>
    </w:p>
    <w:p w:rsidR="004E50A8" w:rsidRDefault="004E50A8" w:rsidP="004E50A8">
      <w:pPr>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纳税人取得经营所得，按年计算个人所得税，由纳税人在月度或者季度终了后十五日内向税务机关报送纳税申报表，并预缴税款;在取得所得的次年三月三十一日前办理汇算清缴。取得经营所得的个人，没有综合所得的，计算其每一纳税年度的应纳税</w:t>
      </w:r>
      <w:r>
        <w:rPr>
          <w:rFonts w:ascii="仿宋" w:eastAsia="仿宋" w:hAnsi="仿宋" w:cs="仿宋" w:hint="eastAsia"/>
          <w:spacing w:val="-6"/>
          <w:sz w:val="32"/>
          <w:szCs w:val="32"/>
        </w:rPr>
        <w:t>所得额时，应当减除费用6万元、专项扣除、专项附加扣除以及依法确定的其他扣除,其中专项附加扣除在办理汇算清缴时减除。</w:t>
      </w:r>
    </w:p>
    <w:p w:rsidR="004E50A8" w:rsidRDefault="004E50A8" w:rsidP="004E50A8">
      <w:pPr>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文件依据：《中华人民共和国个人所得税法》;《中华人民共和国个人所得税法实施条例》(国务院令第707号)</w:t>
      </w:r>
    </w:p>
    <w:p w:rsidR="004E50A8" w:rsidRDefault="004E50A8" w:rsidP="004E50A8">
      <w:pPr>
        <w:spacing w:line="600" w:lineRule="exact"/>
        <w:ind w:firstLineChars="200" w:firstLine="640"/>
        <w:jc w:val="left"/>
        <w:rPr>
          <w:rFonts w:ascii="仿宋" w:eastAsia="仿宋" w:hAnsi="仿宋" w:cs="仿宋" w:hint="eastAsia"/>
          <w:sz w:val="32"/>
          <w:szCs w:val="32"/>
        </w:rPr>
      </w:pPr>
    </w:p>
    <w:p w:rsidR="004E50A8" w:rsidRDefault="004E50A8" w:rsidP="004E50A8">
      <w:pPr>
        <w:spacing w:line="600" w:lineRule="exact"/>
        <w:ind w:firstLineChars="200" w:firstLine="643"/>
        <w:jc w:val="left"/>
        <w:outlineLvl w:val="0"/>
        <w:rPr>
          <w:rFonts w:ascii="仿宋" w:eastAsia="仿宋" w:hAnsi="仿宋" w:cs="仿宋" w:hint="eastAsia"/>
          <w:b/>
          <w:bCs/>
          <w:sz w:val="32"/>
          <w:szCs w:val="32"/>
        </w:rPr>
      </w:pPr>
      <w:bookmarkStart w:id="6" w:name="_Toc12091"/>
      <w:r>
        <w:rPr>
          <w:rFonts w:ascii="仿宋" w:eastAsia="仿宋" w:hAnsi="仿宋" w:cs="仿宋" w:hint="eastAsia"/>
          <w:b/>
          <w:bCs/>
          <w:sz w:val="32"/>
          <w:szCs w:val="32"/>
        </w:rPr>
        <w:lastRenderedPageBreak/>
        <w:t>7.如何下载安装自然人电子税务局(扣缴端)?</w:t>
      </w:r>
      <w:bookmarkEnd w:id="6"/>
    </w:p>
    <w:p w:rsidR="004E50A8" w:rsidRDefault="004E50A8" w:rsidP="004E50A8">
      <w:pPr>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答：您可从本省税务局网站下载安装包，系统安装时会有安装指引，按照指引操作即可。</w:t>
      </w:r>
    </w:p>
    <w:p w:rsidR="004E50A8" w:rsidRDefault="004E50A8" w:rsidP="004E50A8">
      <w:pPr>
        <w:spacing w:line="600" w:lineRule="exact"/>
        <w:ind w:firstLineChars="200" w:firstLine="643"/>
        <w:jc w:val="left"/>
        <w:outlineLvl w:val="0"/>
        <w:rPr>
          <w:rFonts w:ascii="仿宋" w:eastAsia="仿宋" w:hAnsi="仿宋" w:cs="仿宋" w:hint="eastAsia"/>
          <w:b/>
          <w:bCs/>
          <w:sz w:val="32"/>
          <w:szCs w:val="32"/>
        </w:rPr>
      </w:pPr>
      <w:bookmarkStart w:id="7" w:name="_Toc902"/>
      <w:r>
        <w:rPr>
          <w:rFonts w:ascii="仿宋" w:eastAsia="仿宋" w:hAnsi="仿宋" w:cs="仿宋" w:hint="eastAsia"/>
          <w:b/>
          <w:bCs/>
          <w:sz w:val="32"/>
          <w:szCs w:val="32"/>
        </w:rPr>
        <w:t>8.个人所得税代扣代缴手续费的返还比例是多少?</w:t>
      </w:r>
      <w:bookmarkEnd w:id="7"/>
    </w:p>
    <w:p w:rsidR="004E50A8" w:rsidRDefault="004E50A8" w:rsidP="004E50A8">
      <w:pPr>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答：对扣缴义务人按照规定所扣缴的税款，付给百分之二的手续费。2019年度手续费返还申报期限由2020年3月30日延长至5月30日。</w:t>
      </w:r>
    </w:p>
    <w:p w:rsidR="004E50A8" w:rsidRDefault="004E50A8" w:rsidP="004E50A8">
      <w:pPr>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文件依据：《中华人民共和国个人所得税法》;《国家税务总局关于延长2019年度代扣代收代征税款手续费申报期限的通知》(税总函〔2020〕43号)</w:t>
      </w:r>
    </w:p>
    <w:p w:rsidR="004E50A8" w:rsidRDefault="004E50A8" w:rsidP="004E50A8">
      <w:pPr>
        <w:spacing w:line="600" w:lineRule="exact"/>
        <w:ind w:firstLineChars="200" w:firstLine="643"/>
        <w:jc w:val="left"/>
        <w:outlineLvl w:val="0"/>
        <w:rPr>
          <w:rFonts w:ascii="仿宋" w:eastAsia="仿宋" w:hAnsi="仿宋" w:cs="仿宋" w:hint="eastAsia"/>
          <w:b/>
          <w:bCs/>
          <w:sz w:val="32"/>
          <w:szCs w:val="32"/>
        </w:rPr>
      </w:pPr>
      <w:bookmarkStart w:id="8" w:name="_Toc19823"/>
      <w:r>
        <w:rPr>
          <w:rFonts w:ascii="仿宋" w:eastAsia="仿宋" w:hAnsi="仿宋" w:cs="仿宋" w:hint="eastAsia"/>
          <w:b/>
          <w:bCs/>
          <w:sz w:val="32"/>
          <w:szCs w:val="32"/>
        </w:rPr>
        <w:t>9.忘记自然人电子税务局(扣缴端)的申报密码，如何处理?</w:t>
      </w:r>
      <w:bookmarkEnd w:id="8"/>
    </w:p>
    <w:p w:rsidR="004E50A8" w:rsidRDefault="004E50A8" w:rsidP="004E50A8">
      <w:pPr>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答：如果扣缴义务人忘记了自然人电子税务局(扣缴端)的申报密码，可以到办税服务厅进行重置，也可以由扣缴单位的法人或财务负责人登录个人所得税APP进行重置。</w:t>
      </w:r>
    </w:p>
    <w:p w:rsidR="004E50A8" w:rsidRDefault="004E50A8" w:rsidP="004E50A8">
      <w:pPr>
        <w:spacing w:line="600" w:lineRule="exact"/>
        <w:ind w:firstLineChars="200" w:firstLine="643"/>
        <w:jc w:val="left"/>
        <w:outlineLvl w:val="0"/>
        <w:rPr>
          <w:rFonts w:ascii="仿宋" w:eastAsia="仿宋" w:hAnsi="仿宋" w:cs="仿宋" w:hint="eastAsia"/>
          <w:b/>
          <w:bCs/>
          <w:sz w:val="32"/>
          <w:szCs w:val="32"/>
        </w:rPr>
      </w:pPr>
      <w:bookmarkStart w:id="9" w:name="_Toc21253"/>
      <w:r>
        <w:rPr>
          <w:rFonts w:ascii="仿宋" w:eastAsia="仿宋" w:hAnsi="仿宋" w:cs="仿宋" w:hint="eastAsia"/>
          <w:b/>
          <w:bCs/>
          <w:sz w:val="32"/>
          <w:szCs w:val="32"/>
        </w:rPr>
        <w:t>10.什么情况下会导致退税审核不通过或者退税失败?</w:t>
      </w:r>
      <w:bookmarkEnd w:id="9"/>
    </w:p>
    <w:p w:rsidR="004E50A8" w:rsidRDefault="004E50A8" w:rsidP="004E50A8">
      <w:pPr>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答：如果存在以下情形之一，可能导致退税审核不通过或者退税失败：</w:t>
      </w:r>
    </w:p>
    <w:p w:rsidR="004E50A8" w:rsidRDefault="004E50A8" w:rsidP="004E50A8">
      <w:pPr>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(1)您的身份信息不正确;</w:t>
      </w:r>
    </w:p>
    <w:p w:rsidR="004E50A8" w:rsidRDefault="004E50A8" w:rsidP="004E50A8">
      <w:pPr>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(2)您提交的银行账户信息不正确或者无效，导致税款无法退还;</w:t>
      </w:r>
    </w:p>
    <w:p w:rsidR="004E50A8" w:rsidRDefault="004E50A8" w:rsidP="004E50A8">
      <w:pPr>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(3)您的申报数据存在错误或者疑点;</w:t>
      </w:r>
    </w:p>
    <w:p w:rsidR="004E50A8" w:rsidRDefault="004E50A8" w:rsidP="004E50A8">
      <w:pPr>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lastRenderedPageBreak/>
        <w:t>(4)税务机关审核时发现有需要向您进一步核实了解的情况，但您未提供联系方式或者提供的联系方式不正确，无法与您联系;</w:t>
      </w:r>
    </w:p>
    <w:p w:rsidR="004E50A8" w:rsidRDefault="004E50A8" w:rsidP="004E50A8">
      <w:pPr>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(5)税务机关向您核实有关年度汇算申报信息，您尚未确认或说明。</w:t>
      </w:r>
    </w:p>
    <w:p w:rsidR="005D7120" w:rsidRDefault="005D7120"/>
    <w:sectPr w:rsidR="005D7120">
      <w:footerReference w:type="default" r:id="rId6"/>
      <w:pgSz w:w="11907" w:h="16840"/>
      <w:pgMar w:top="1985" w:right="1588" w:bottom="2098" w:left="1474" w:header="567" w:footer="907" w:gutter="0"/>
      <w:pgNumType w:start="1"/>
      <w:cols w:space="720"/>
      <w:docGrid w:linePitch="613" w:charSpace="-18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120" w:rsidRDefault="005D7120" w:rsidP="004E50A8">
      <w:pPr>
        <w:spacing w:line="240" w:lineRule="auto"/>
      </w:pPr>
      <w:r>
        <w:separator/>
      </w:r>
    </w:p>
  </w:endnote>
  <w:endnote w:type="continuationSeparator" w:id="1">
    <w:p w:rsidR="005D7120" w:rsidRDefault="005D7120" w:rsidP="004E50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4E" w:rsidRDefault="005D7120">
    <w:pPr>
      <w:pStyle w:val="a4"/>
    </w:pPr>
    <w:r>
      <w:pict>
        <v:shapetype id="_x0000_t202" coordsize="21600,21600" o:spt="202" path="m,l,21600r21600,l21600,xe">
          <v:stroke joinstyle="miter"/>
          <v:path gradientshapeok="t" o:connecttype="rect"/>
        </v:shapetype>
        <v:shape id="文本框 3" o:spid="_x0000_s1025" type="#_x0000_t202" style="position:absolute;margin-left:0;margin-top:0;width:2in;height:2in;z-index:251660288;mso-wrap-style:none;mso-position-horizontal:center;mso-position-horizontal-relative:margin" filled="f" stroked="f">
          <v:textbox style="mso-fit-shape-to-text:t" inset="0,0,0,0">
            <w:txbxContent>
              <w:p w:rsidR="00B60E4E" w:rsidRDefault="005D7120">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sidR="004E50A8">
                  <w:rPr>
                    <w:noProof/>
                    <w:lang/>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120" w:rsidRDefault="005D7120" w:rsidP="004E50A8">
      <w:pPr>
        <w:spacing w:line="240" w:lineRule="auto"/>
      </w:pPr>
      <w:r>
        <w:separator/>
      </w:r>
    </w:p>
  </w:footnote>
  <w:footnote w:type="continuationSeparator" w:id="1">
    <w:p w:rsidR="005D7120" w:rsidRDefault="005D7120" w:rsidP="004E50A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50A8"/>
    <w:rsid w:val="004E50A8"/>
    <w:rsid w:val="005D71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0A8"/>
    <w:pPr>
      <w:spacing w:line="360" w:lineRule="auto"/>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50A8"/>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E50A8"/>
    <w:rPr>
      <w:sz w:val="18"/>
      <w:szCs w:val="18"/>
    </w:rPr>
  </w:style>
  <w:style w:type="paragraph" w:styleId="a4">
    <w:name w:val="footer"/>
    <w:basedOn w:val="a"/>
    <w:link w:val="Char0"/>
    <w:uiPriority w:val="99"/>
    <w:unhideWhenUsed/>
    <w:rsid w:val="004E50A8"/>
    <w:pPr>
      <w:widowControl w:val="0"/>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E50A8"/>
    <w:rPr>
      <w:sz w:val="18"/>
      <w:szCs w:val="18"/>
    </w:rPr>
  </w:style>
  <w:style w:type="paragraph" w:styleId="1">
    <w:name w:val="toc 1"/>
    <w:basedOn w:val="a"/>
    <w:next w:val="a"/>
    <w:uiPriority w:val="39"/>
    <w:unhideWhenUsed/>
    <w:rsid w:val="004E50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吴佳蔚</dc:creator>
  <cp:keywords/>
  <dc:description/>
  <cp:lastModifiedBy>吴佳蔚</cp:lastModifiedBy>
  <cp:revision>2</cp:revision>
  <dcterms:created xsi:type="dcterms:W3CDTF">2020-06-24T07:44:00Z</dcterms:created>
  <dcterms:modified xsi:type="dcterms:W3CDTF">2020-06-24T07:44:00Z</dcterms:modified>
</cp:coreProperties>
</file>